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51" w:name="yarriambiack-profile"/>
    <w:p>
      <w:pPr>
        <w:pStyle w:val="Heading1"/>
      </w:pPr>
      <w:r>
        <w:t xml:space="preserve">Yarriambiack Profile</w:t>
      </w:r>
    </w:p>
    <w:p>
      <w:pPr>
        <w:pStyle w:val="FirstParagraph"/>
      </w:pPr>
      <w:r>
        <w:t xml:space="preserve">Report generated on 02 January 2025.</w:t>
      </w:r>
    </w:p>
    <w:bookmarkStart w:id="20" w:name="overview"/>
    <w:p>
      <w:pPr>
        <w:pStyle w:val="Heading2"/>
      </w:pPr>
      <w:r>
        <w:t xml:space="preserve">Overview</w:t>
      </w:r>
    </w:p>
    <w:p>
      <w:pPr>
        <w:pStyle w:val="FirstParagraph"/>
      </w:pPr>
      <w:r>
        <w:rPr>
          <w:bCs/>
          <w:b/>
        </w:rPr>
        <w:t xml:space="preserve">Total Area:</w:t>
      </w:r>
      <w:r>
        <w:t xml:space="preserve"> </w:t>
      </w:r>
      <w:r>
        <w:t xml:space="preserve">7,326 sqkm          </w:t>
      </w:r>
      <w:r>
        <w:rPr>
          <w:bCs/>
          <w:b/>
        </w:rPr>
        <w:t xml:space="preserve">Population:</w:t>
      </w:r>
      <w:r>
        <w:t xml:space="preserve"> </w:t>
      </w:r>
      <w:r>
        <w:t xml:space="preserve">6,435          </w:t>
      </w:r>
      <w:r>
        <w:rPr>
          <w:bCs/>
          <w:b/>
        </w:rPr>
        <w:t xml:space="preserve">Major Town:</w:t>
      </w:r>
      <w:r>
        <w:t xml:space="preserve"> </w:t>
      </w:r>
      <w:r>
        <w:t xml:space="preserve">Warracknabeal</w:t>
      </w:r>
    </w:p>
    <w:bookmarkEnd w:id="20"/>
    <w:bookmarkStart w:id="22" w:name="demographics"/>
    <w:p>
      <w:pPr>
        <w:pStyle w:val="Heading2"/>
      </w:pPr>
      <w:r>
        <w:t xml:space="preserve">Demographics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Population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52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51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2,938</w:t>
            </w:r>
          </w:p>
        </w:tc>
      </w:tr>
    </w:tbl>
    <w:bookmarkStart w:id="21" w:name="section"/>
    <w:p>
      <w:pPr>
        <w:pStyle w:val="Heading5"/>
      </w:pPr>
    </w:p>
    <w:bookmarkEnd w:id="21"/>
    <w:bookmarkEnd w:id="22"/>
    <w:bookmarkStart w:id="24" w:name="vulnerability"/>
    <w:p>
      <w:pPr>
        <w:pStyle w:val="Heading2"/>
      </w:pPr>
      <w:r>
        <w:t xml:space="preserve">Vulnerability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Homelessness Population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Unemployment Rate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SEIFA - IRSD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18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3.5%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</w:t>
            </w:r>
          </w:p>
        </w:tc>
      </w:tr>
    </w:tbl>
    <w:bookmarkStart w:id="23" w:name="section-1"/>
    <w:p>
      <w:pPr>
        <w:pStyle w:val="Heading5"/>
      </w:pPr>
    </w:p>
    <w:bookmarkEnd w:id="23"/>
    <w:bookmarkEnd w:id="24"/>
    <w:bookmarkStart w:id="26" w:name="X55156e1a025664e7d16d5e8342759755d41e8b3"/>
    <w:p>
      <w:pPr>
        <w:pStyle w:val="Heading2"/>
      </w:pPr>
      <w:r>
        <w:t xml:space="preserve">Support Payments LGA and State Comparison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624"/>
        <w:gridCol w:w="2027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Rates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Yarriambiack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Victoria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Age Pension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1,060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617,930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Commonwealth Rent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305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299,680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Disability Support Pension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490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195,705</w:t>
            </w:r>
          </w:p>
        </w:tc>
      </w:tr>
      <w:tr>
        <w:trPr>
          <w:trHeight w:val="360" w:hRule="auto"/>
        </w:trPr>
        body4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Carer Allowance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295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173,590</w:t>
            </w:r>
          </w:p>
        </w:tc>
      </w:tr>
    </w:tbl>
    <w:bookmarkStart w:id="25" w:name="section-2"/>
    <w:p>
      <w:pPr>
        <w:pStyle w:val="Heading5"/>
      </w:pPr>
    </w:p>
    <w:bookmarkEnd w:id="25"/>
    <w:bookmarkEnd w:id="26"/>
    <w:bookmarkStart w:id="28" w:name="economy"/>
    <w:p>
      <w:pPr>
        <w:pStyle w:val="Heading2"/>
      </w:pPr>
      <w:r>
        <w:t xml:space="preserve">Economy</w:t>
      </w:r>
    </w:p>
    <w:p>
      <w:pPr>
        <w:pStyle w:val="FirstParagraph"/>
      </w:pPr>
      <w:r>
        <w:rPr>
          <w:bCs/>
          <w:b/>
        </w:rPr>
        <w:t xml:space="preserve">Median Income:</w:t>
      </w:r>
      <w:r>
        <w:t xml:space="preserve"> </w:t>
      </w:r>
      <w:r>
        <w:t xml:space="preserve">$44,256          </w:t>
      </w:r>
      <w:r>
        <w:rPr>
          <w:bCs/>
          <w:b/>
        </w:rPr>
        <w:t xml:space="preserve">Gross Regional Product:</w:t>
      </w:r>
      <w:r>
        <w:t xml:space="preserve"> </w:t>
      </w:r>
      <w:r>
        <w:t xml:space="preserve">$469 Million          </w:t>
      </w:r>
      <w:r>
        <w:rPr>
          <w:bCs/>
          <w:b/>
        </w:rPr>
        <w:t xml:space="preserve">Employed Residents:</w:t>
      </w:r>
      <w:r>
        <w:t xml:space="preserve"> </w:t>
      </w:r>
      <w:r>
        <w:t xml:space="preserve">3,063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1739"/>
        <w:gridCol w:w="3478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Industries With Most Value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Value ($Million)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Employing Industries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No. Employees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Agriculture, Forestry and Fishing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167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Agriculture, Forestry and Fishing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854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47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572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Transport, Postal and Warehousing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28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Education and Training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207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Wholesale Trade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27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182</w:t>
            </w:r>
          </w:p>
        </w:tc>
      </w:tr>
      <w:tr>
        <w:trPr>
          <w:trHeight w:val="360" w:hRule="auto"/>
        </w:trPr>
        body5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25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Transport, Postal and Warehousing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181</w:t>
            </w:r>
          </w:p>
        </w:tc>
      </w:tr>
    </w:tbl>
    <w:bookmarkStart w:id="27" w:name="section-3"/>
    <w:p>
      <w:pPr>
        <w:pStyle w:val="Heading5"/>
      </w:pPr>
    </w:p>
    <w:bookmarkEnd w:id="27"/>
    <w:bookmarkEnd w:id="28"/>
    <w:bookmarkStart w:id="30" w:name="number-of-businesses"/>
    <w:p>
      <w:pPr>
        <w:pStyle w:val="Heading2"/>
      </w:pPr>
      <w:r>
        <w:t xml:space="preserve">Number of Businesses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521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Small Businesses (&lt;20 employees)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Businesses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937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947</w:t>
            </w:r>
          </w:p>
        </w:tc>
      </w:tr>
    </w:tbl>
    <w:bookmarkStart w:id="29" w:name="section-4"/>
    <w:p>
      <w:pPr>
        <w:pStyle w:val="Heading5"/>
      </w:pPr>
    </w:p>
    <w:bookmarkEnd w:id="29"/>
    <w:bookmarkEnd w:id="30"/>
    <w:bookmarkStart w:id="33" w:name="disaster-history"/>
    <w:p>
      <w:pPr>
        <w:pStyle w:val="Heading2"/>
      </w:pPr>
      <w:r>
        <w:t xml:space="preserve">Disaster History</w:t>
      </w:r>
    </w:p>
    <w:p>
      <w:pPr>
        <w:pStyle w:val="FirstParagraph"/>
      </w:pPr>
      <w:r>
        <w:t xml:space="preserve">The following Disaster Recovery Funding Arrangements have been declared in since 01 July 2022. For a full list of declarations visit</w:t>
      </w:r>
      <w:r>
        <w:t xml:space="preserve"> </w:t>
      </w:r>
      <w:hyperlink r:id="rId31">
        <w:r>
          <w:rPr>
            <w:rStyle w:val="Hyperlink"/>
          </w:rPr>
          <w:t xml:space="preserve">Disaster Assist</w:t>
        </w:r>
      </w:hyperlink>
      <w:r>
        <w:t xml:space="preserve">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869"/>
        <w:gridCol w:w="4928"/>
        <w:gridCol w:w="1085"/>
        <w:gridCol w:w="1085"/>
        <w:gridCol w:w="869"/>
        <w:gridCol w:w="1595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AGRN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Event Name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DRFA Category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AGDRP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DRA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Hazard Type(s)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1037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1037 - Victorian Floods (commencing 6 October 2022)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ABCD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Y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</w:t>
            </w:r>
          </w:p>
        </w:tc>
      </w:tr>
    </w:tbl>
    <w:bookmarkStart w:id="32" w:name="section-5"/>
    <w:p>
      <w:pPr>
        <w:pStyle w:val="Heading5"/>
      </w:pPr>
    </w:p>
    <w:bookmarkEnd w:id="32"/>
    <w:bookmarkEnd w:id="33"/>
    <w:bookmarkStart w:id="50" w:name="disaster-history-cumulative-payment"/>
    <w:p>
      <w:pPr>
        <w:pStyle w:val="Heading2"/>
      </w:pPr>
      <w:r>
        <w:t xml:space="preserve">Disaster History Cumulative Payment</w:t>
      </w:r>
    </w:p>
    <w:p>
      <w:pPr>
        <w:pStyle w:val="FirstParagraph"/>
      </w:pPr>
      <w:r>
        <w:t xml:space="preserve">The following payments have been made based on disaster events occurring in since 01 July 2022.</w:t>
      </w:r>
      <w:r>
        <w:t xml:space="preserve"> </w:t>
      </w:r>
      <w:r>
        <w:t xml:space="preserve">For a break down of disaster history payment please visit</w:t>
      </w:r>
      <w:r>
        <w:t xml:space="preserve"> </w:t>
      </w:r>
      <w:hyperlink r:id="rId34">
        <w:r>
          <w:rPr>
            <w:rStyle w:val="Hyperlink"/>
          </w:rPr>
          <w:t xml:space="preserve">Data.gov.au</w:t>
        </w:r>
      </w:hyperlink>
    </w:p>
    <w:p>
      <w:pPr>
        <w:pStyle w:val="BodyText"/>
      </w:pPr>
      <w:r>
        <w:t xml:space="preserve">Note – some AGDRP/DRA payment information is aggregated from suburb level to LGA. As such there may be duplication of records as the boundaries of some suburbs may overlap two or more LGAs.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1739"/>
        <w:gridCol w:w="1739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Payment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Received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($)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Recovery Allowance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32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20,000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Community Sports and RecClub ($5,000)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20,000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Primary Producer Grants ($75,000)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67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2,560,362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$200K Medium-Large Business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body5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Freight Subsidy to Primary Producer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body6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Primary Producer Loans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body7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Rural Landholder ($25,000)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body8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Small Business Grants ($50,000)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</w:tbl>
    <w:bookmarkStart w:id="35" w:name="section-6"/>
    <w:p>
      <w:pPr>
        <w:pStyle w:val="Heading5"/>
      </w:pPr>
    </w:p>
    <w:bookmarkEnd w:id="35"/>
    <w:bookmarkStart w:id="36" w:name="section-7"/>
    <w:p>
      <w:pPr>
        <w:pStyle w:val="Heading5"/>
      </w:pPr>
    </w:p>
    <w:bookmarkEnd w:id="36"/>
    <w:bookmarkStart w:id="37" w:name="section-8"/>
    <w:p>
      <w:pPr>
        <w:pStyle w:val="Heading5"/>
      </w:pPr>
    </w:p>
    <w:bookmarkEnd w:id="37"/>
    <w:bookmarkStart w:id="38" w:name="section-9"/>
    <w:p>
      <w:pPr>
        <w:pStyle w:val="Heading5"/>
      </w:pPr>
    </w:p>
    <w:p>
      <w:r>
        <w:br w:type="page"/>
      </w:r>
    </w:p>
    <w:bookmarkEnd w:id="38"/>
    <w:bookmarkStart w:id="49" w:name="data-sources"/>
    <w:p>
      <w:pPr>
        <w:pStyle w:val="Heading3"/>
      </w:pPr>
      <w:r>
        <w:t xml:space="preserve">Data Sources</w:t>
      </w:r>
    </w:p>
    <w:p>
      <w:pPr>
        <w:pStyle w:val="FirstParagraph"/>
      </w:pPr>
      <w:r>
        <w:t xml:space="preserve">These profiles utilise data from a number of third-party providers, including:</w:t>
      </w:r>
    </w:p>
    <w:p>
      <w:pPr>
        <w:numPr>
          <w:ilvl w:val="0"/>
          <w:numId w:val="1001"/>
        </w:numPr>
        <w:pStyle w:val="Compact"/>
      </w:pPr>
      <w:r>
        <w:t xml:space="preserve">Services Australia</w:t>
      </w:r>
    </w:p>
    <w:p>
      <w:pPr>
        <w:numPr>
          <w:ilvl w:val="0"/>
          <w:numId w:val="1001"/>
        </w:numPr>
        <w:pStyle w:val="Compact"/>
      </w:pPr>
      <w:r>
        <w:t xml:space="preserve">State and Territory Governments</w:t>
      </w:r>
    </w:p>
    <w:p>
      <w:pPr>
        <w:numPr>
          <w:ilvl w:val="0"/>
          <w:numId w:val="1001"/>
        </w:numPr>
        <w:pStyle w:val="Compact"/>
      </w:pPr>
      <w:hyperlink r:id="rId39">
        <w:r>
          <w:rPr>
            <w:rStyle w:val="Hyperlink"/>
          </w:rPr>
          <w:t xml:space="preserve">Regional population, 2021-22 financial year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0">
        <w:r>
          <w:rPr>
            <w:rStyle w:val="Hyperlink"/>
          </w:rPr>
          <w:t xml:space="preserve">DSS Benefit and Payment Recipient Demographics - quarterly data | Datasets | data.gov.au - beta</w:t>
        </w:r>
      </w:hyperlink>
    </w:p>
    <w:p>
      <w:pPr>
        <w:numPr>
          <w:ilvl w:val="0"/>
          <w:numId w:val="1001"/>
        </w:numPr>
        <w:pStyle w:val="Compact"/>
      </w:pPr>
      <w:hyperlink r:id="rId41">
        <w:r>
          <w:rPr>
            <w:rStyle w:val="Hyperlink"/>
          </w:rPr>
          <w:t xml:space="preserve">Estimating Homelessness: Census,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2">
        <w:r>
          <w:rPr>
            <w:rStyle w:val="Hyperlink"/>
          </w:rPr>
          <w:t xml:space="preserve">Small Area Labour Markets | National Skills Commission</w:t>
        </w:r>
      </w:hyperlink>
    </w:p>
    <w:p>
      <w:pPr>
        <w:numPr>
          <w:ilvl w:val="0"/>
          <w:numId w:val="1001"/>
        </w:numPr>
        <w:pStyle w:val="Compact"/>
      </w:pPr>
      <w:hyperlink r:id="rId43">
        <w:r>
          <w:rPr>
            <w:rStyle w:val="Hyperlink"/>
          </w:rPr>
          <w:t xml:space="preserve">Socio-Economic Indexes for Areas (SEIFA), Australia,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4">
        <w:r>
          <w:rPr>
            <w:rStyle w:val="Hyperlink"/>
          </w:rPr>
          <w:t xml:space="preserve">EconomyID</w:t>
        </w:r>
      </w:hyperlink>
    </w:p>
    <w:p>
      <w:pPr>
        <w:numPr>
          <w:ilvl w:val="0"/>
          <w:numId w:val="1001"/>
        </w:numPr>
        <w:pStyle w:val="Compact"/>
      </w:pPr>
      <w:hyperlink r:id="rId45">
        <w:r>
          <w:rPr>
            <w:rStyle w:val="Hyperlink"/>
          </w:rPr>
          <w:t xml:space="preserve">Counts of Australian Businesses, including Entries and Exits, July 2018 - June 2022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6">
        <w:r>
          <w:rPr>
            <w:rStyle w:val="Hyperlink"/>
          </w:rPr>
          <w:t xml:space="preserve">Regional population by age and sex,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7">
        <w:r>
          <w:rPr>
            <w:rStyle w:val="Hyperlink"/>
          </w:rPr>
          <w:t xml:space="preserve">Labour Force, Australia, Detailed, May 2023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8">
        <w:r>
          <w:rPr>
            <w:rStyle w:val="Hyperlink"/>
          </w:rPr>
          <w:t xml:space="preserve">Personal Income in Australia, 2015-16 to 2019-20 | Australian Bureau of Statistics (abs.gov.au)</w:t>
        </w:r>
      </w:hyperlink>
    </w:p>
    <w:p>
      <w:pPr>
        <w:pStyle w:val="FirstParagraph"/>
      </w:pPr>
      <w:r>
        <w:t xml:space="preserve">The data is maintained by these third-party providers. While every effort has been made to ensure the accuracy of this information, no guarantee is given.</w:t>
      </w:r>
    </w:p>
    <w:bookmarkEnd w:id="49"/>
    <w:bookmarkEnd w:id="50"/>
    <w:bookmarkEnd w:id="51"/>
    <w:sectPr w:rsidR="00072A22" w:rsidRPr="00B306BE" w:rsidSect="00AE705B">
      <w:headerReference r:id="rId9" w:type="default"/>
      <w:pgSz w:h="16838" w:w="11906"/>
      <w:pgMar w:bottom="1452" w:footer="709" w:gutter="0" w:header="709" w:left="720" w:right="720" w:top="720"/>
      <w:cols w:space="708"/>
      <w:docGrid w:linePitch="36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A59" w:rsidRDefault="00665456" w:rsidP="005919F1">
    <w:pPr>
      <w:pStyle w:val="Header"/>
      <w:jc w:val="center"/>
    </w:pPr>
    <w:r>
      <w:rPr>
        <w:noProof/>
        <w:lang w:eastAsia="en-AU"/>
      </w:rPr>
      <w:drawing>
        <wp:anchor distT="0" distB="0" distL="114300" distR="114300" simplePos="0" relativeHeight="251659264" behindDoc="1" locked="1" layoutInCell="1" allowOverlap="0" wp14:anchorId="32E01AFA" wp14:editId="5A77BF23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88250" cy="107315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MA_ONE-PAGE-LANDSCAPE_A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250" cy="1073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4C1C1748"/>
    <w:multiLevelType w:val="hybridMultilevel"/>
    <w:tmpl w:val="0ECE77F6"/>
    <w:lvl w:ilvl="0" w:tplc="0C09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C09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C09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C09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C09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C09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C09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C09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C09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embedSystemFonts/>
  <w:proofState w:grammar="clean" w:spelling="clean"/>
  <w:stylePaneFormatFilter w:val="0004"/>
  <w:footnotePr>
    <w:footnote w:id="-1"/>
    <w:footnote w:id="0"/>
  </w:footnotePr>
  <w:doNotTrackMoves/>
  <w:drawingGridHorizontalSpacing w:val="360"/>
  <w:drawingGridVerticalSpacing w:val="360"/>
  <w:displayHorizontalDrawingGridEvery w:val="0"/>
  <w:displayVerticalDrawingGridEvery w:val="0"/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en-AU"/>
      </w:rPr>
    </w:rPrDefault>
    <w:pPrDefault>
      <w:pPr>
        <w:spacing w:after="160" w:line="259" w:lineRule="auto"/>
      </w:pPr>
    </w:pPrDefault>
  </w:docDefaults>
  <w:latentStyles w:count="371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Normal" w:type="paragraph">
    <w:name w:val="Normal"/>
    <w:qFormat/>
    <w:rsid w:val="00072A22"/>
    <w:pPr>
      <w:spacing w:after="280" w:before="120" w:line="264" w:lineRule="auto"/>
    </w:pPr>
    <w:rPr>
      <w:rFonts w:ascii="Arial" w:hAnsi="Arial"/>
      <w:sz w:val="20"/>
    </w:rPr>
  </w:style>
  <w:style w:styleId="Heading1" w:type="paragraph">
    <w:name w:val="heading 1"/>
    <w:basedOn w:val="Normal"/>
    <w:next w:val="Normal"/>
    <w:link w:val="Heading1Char"/>
    <w:uiPriority w:val="9"/>
    <w:qFormat/>
    <w:rsid w:val="00072A22"/>
    <w:pPr>
      <w:keepNext/>
      <w:keepLines/>
      <w:spacing w:after="240" w:before="240"/>
      <w:outlineLvl w:val="0"/>
    </w:pPr>
    <w:rPr>
      <w:rFonts w:cs="Arial" w:eastAsia="Times New Roman"/>
      <w:b/>
      <w:sz w:val="36"/>
      <w:szCs w:val="32"/>
    </w:rPr>
  </w:style>
  <w:style w:styleId="Heading2" w:type="paragraph">
    <w:name w:val="heading 2"/>
    <w:basedOn w:val="Normal"/>
    <w:next w:val="Normal"/>
    <w:link w:val="Heading2Char"/>
    <w:uiPriority w:val="9"/>
    <w:unhideWhenUsed/>
    <w:qFormat/>
    <w:rsid w:val="00072A22"/>
    <w:pPr>
      <w:keepNext/>
      <w:keepLines/>
      <w:spacing w:after="180" w:before="40"/>
      <w:outlineLvl w:val="1"/>
    </w:pPr>
    <w:rPr>
      <w:rFonts w:cs="Arial" w:eastAsia="Times New Roman"/>
      <w:b/>
      <w:color w:val="003E5A"/>
      <w:sz w:val="28"/>
      <w:szCs w:val="26"/>
    </w:rPr>
  </w:style>
  <w:style w:styleId="Heading3" w:type="paragraph">
    <w:name w:val="heading 3"/>
    <w:basedOn w:val="IntroPara"/>
    <w:next w:val="Normal"/>
    <w:link w:val="Heading3Char"/>
    <w:uiPriority w:val="9"/>
    <w:unhideWhenUsed/>
    <w:qFormat/>
    <w:rsid w:val="00072A22"/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Header" w:type="paragraph">
    <w:name w:val="header"/>
    <w:basedOn w:val="Normal"/>
    <w:link w:val="Head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HeaderChar" w:type="character">
    <w:name w:val="Header Char"/>
    <w:basedOn w:val="DefaultParagraphFont"/>
    <w:link w:val="Header"/>
    <w:uiPriority w:val="99"/>
    <w:rsid w:val="003C1A59"/>
  </w:style>
  <w:style w:styleId="Footer" w:type="paragraph">
    <w:name w:val="footer"/>
    <w:basedOn w:val="Normal"/>
    <w:link w:val="Foot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FooterChar" w:type="character">
    <w:name w:val="Footer Char"/>
    <w:basedOn w:val="DefaultParagraphFont"/>
    <w:link w:val="Footer"/>
    <w:uiPriority w:val="99"/>
    <w:rsid w:val="003C1A59"/>
  </w:style>
  <w:style w:customStyle="1" w:styleId="Heading1Char" w:type="character">
    <w:name w:val="Heading 1 Char"/>
    <w:basedOn w:val="DefaultParagraphFont"/>
    <w:link w:val="Heading1"/>
    <w:uiPriority w:val="9"/>
    <w:rsid w:val="00072A22"/>
    <w:rPr>
      <w:rFonts w:ascii="Arial" w:cs="Arial" w:eastAsia="Times New Roman" w:hAnsi="Arial"/>
      <w:b/>
      <w:sz w:val="36"/>
      <w:szCs w:val="32"/>
    </w:rPr>
  </w:style>
  <w:style w:customStyle="1" w:styleId="Heading2Char" w:type="character">
    <w:name w:val="Heading 2 Char"/>
    <w:basedOn w:val="DefaultParagraphFont"/>
    <w:link w:val="Heading2"/>
    <w:uiPriority w:val="9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Heading3Char" w:type="character">
    <w:name w:val="Heading 3 Char"/>
    <w:basedOn w:val="DefaultParagraphFont"/>
    <w:link w:val="Heading3"/>
    <w:uiPriority w:val="9"/>
    <w:rsid w:val="00072A22"/>
    <w:rPr>
      <w:rFonts w:ascii="Arial" w:cs="Arial" w:eastAsia="Century Gothic" w:hAnsi="Arial"/>
      <w:b/>
      <w:color w:val="232E3F"/>
    </w:rPr>
  </w:style>
  <w:style w:customStyle="1" w:styleId="IntroPara" w:type="paragraph">
    <w:name w:val="Intro Para"/>
    <w:basedOn w:val="Normal"/>
    <w:qFormat/>
    <w:rsid w:val="00072A22"/>
    <w:pPr>
      <w:outlineLvl w:val="2"/>
    </w:pPr>
    <w:rPr>
      <w:rFonts w:cs="Arial" w:eastAsia="Century Gothic"/>
      <w:b/>
      <w:color w:val="232E3F"/>
      <w:sz w:val="22"/>
    </w:rPr>
  </w:style>
  <w:style w:styleId="ListParagraph" w:type="paragraph">
    <w:name w:val="List Paragraph"/>
    <w:basedOn w:val="Normal"/>
    <w:uiPriority w:val="34"/>
    <w:qFormat/>
    <w:rsid w:val="00B306BE"/>
    <w:pPr>
      <w:ind w:firstLine="284" w:left="284"/>
    </w:pPr>
  </w:style>
  <w:style w:customStyle="1" w:styleId="Style1" w:type="paragraph">
    <w:name w:val="Style1"/>
    <w:basedOn w:val="Heading1"/>
    <w:link w:val="Style1Char"/>
    <w:autoRedefine/>
    <w:qFormat/>
    <w:rsid w:val="00072A22"/>
  </w:style>
  <w:style w:customStyle="1" w:styleId="Style2" w:type="paragraph">
    <w:name w:val="Style2"/>
    <w:basedOn w:val="Heading2"/>
    <w:link w:val="Style2Char"/>
    <w:autoRedefine/>
    <w:qFormat/>
    <w:rsid w:val="00072A22"/>
  </w:style>
  <w:style w:customStyle="1" w:styleId="Style1Char" w:type="character">
    <w:name w:val="Style1 Char"/>
    <w:basedOn w:val="Heading1Char"/>
    <w:link w:val="Style1"/>
    <w:rsid w:val="00072A22"/>
    <w:rPr>
      <w:rFonts w:ascii="Arial" w:cs="Arial" w:eastAsia="Times New Roman" w:hAnsi="Arial"/>
      <w:b/>
      <w:sz w:val="36"/>
      <w:szCs w:val="32"/>
    </w:rPr>
  </w:style>
  <w:style w:customStyle="1" w:styleId="Style3" w:type="paragraph">
    <w:name w:val="Style3"/>
    <w:basedOn w:val="Heading3"/>
    <w:link w:val="Style3Char"/>
    <w:autoRedefine/>
    <w:qFormat/>
    <w:rsid w:val="00B306BE"/>
    <w:rPr>
      <w:color w:val="007816"/>
    </w:rPr>
  </w:style>
  <w:style w:customStyle="1" w:styleId="Style2Char" w:type="character">
    <w:name w:val="Style2 Char"/>
    <w:basedOn w:val="Heading2Char"/>
    <w:link w:val="Style2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Style3Char" w:type="character">
    <w:name w:val="Style3 Char"/>
    <w:basedOn w:val="Heading3Char"/>
    <w:link w:val="Style3"/>
    <w:rsid w:val="00B306BE"/>
    <w:rPr>
      <w:rFonts w:ascii="Arial" w:cs="Arial" w:eastAsiaTheme="majorEastAsia" w:hAnsi="Arial"/>
      <w:b/>
      <w:color w:val="007816"/>
      <w:sz w:val="24"/>
      <w:szCs w:val="24"/>
    </w:rPr>
  </w:style>
  <w:style w:customStyle="1" w:styleId="CLASSIFICATION" w:type="paragraph">
    <w:name w:val="CLASSIFICATION"/>
    <w:basedOn w:val="Normal"/>
    <w:link w:val="CLASSIFICATIONChar"/>
    <w:autoRedefine/>
    <w:uiPriority w:val="99"/>
    <w:unhideWhenUsed/>
    <w:rsid w:val="005919F1"/>
    <w:pPr>
      <w:jc w:val="center"/>
    </w:pPr>
    <w:rPr>
      <w:rFonts w:ascii="Segoe UI" w:eastAsiaTheme="minorEastAsia" w:hAnsi="Segoe UI"/>
      <w:caps/>
      <w:color w:val="C00000"/>
      <w:sz w:val="18"/>
      <w:szCs w:val="21"/>
    </w:rPr>
  </w:style>
  <w:style w:customStyle="1" w:styleId="CLASSIFICATIONChar" w:type="character">
    <w:name w:val="CLASSIFICATION Char"/>
    <w:basedOn w:val="DefaultParagraphFont"/>
    <w:link w:val="CLASSIFICATION"/>
    <w:uiPriority w:val="99"/>
    <w:rsid w:val="005919F1"/>
    <w:rPr>
      <w:rFonts w:ascii="Segoe UI" w:eastAsiaTheme="minorEastAsia" w:hAnsi="Segoe UI"/>
      <w:caps/>
      <w:color w:val="C00000"/>
      <w:sz w:val="18"/>
      <w:szCs w:val="21"/>
    </w:rPr>
  </w:style>
  <w:style w:styleId="Hyperlink" w:type="character">
    <w:name w:val="Hyperlink"/>
    <w:basedOn w:val="DefaultParagraphFont"/>
    <w:uiPriority w:val="99"/>
    <w:unhideWhenUsed/>
    <w:rsid w:val="00072A22"/>
    <w:rPr>
      <w:rFonts w:cs="Arial"/>
      <w:u w:val="single"/>
    </w:rPr>
  </w:style>
  <w:style w:customStyle="1" w:styleId="Table" w:type="table">
    <w:name w:val="Table"/>
    <w:basedOn w:val="TableNormal"/>
    <w:uiPriority w:val="99"/>
    <w:rsid w:val="00072A22"/>
    <w:pPr>
      <w:spacing w:after="0" w:line="240" w:lineRule="auto"/>
    </w:pPr>
    <w:tblPr/>
  </w:style>
  <w:style w:type="paragraph" w:customStyle="1" w:styleId="SourceCode">
    <w:name w:val="Source Code"/>
    <w:basedOn w:val="Normal"/>
    <w:link w:val="VerbatimChar"/>
    <w:pPr>
      <w:wordWrap w:val="off"/>
      <w:shd w:val="clear" w:fill="f8f8f8"/>
    </w:pPr>
  </w:style>
  <w:style w:type="character" w:customStyle="1" w:styleId="KeywordTok">
    <w:name w:val="KeywordTok"/>
    <w:basedOn w:val="VerbatimChar"/>
    <w:rPr>
      <w:color w:val="204a87"/>
      <w:shd w:val="clear" w:fill="f8f8f8"/>
      <w:b/>
    </w:rPr>
  </w:style>
  <w:style w:type="character" w:customStyle="1" w:styleId="DataTypeTok">
    <w:name w:val="DataTypeTok"/>
    <w:basedOn w:val="VerbatimChar"/>
    <w:rPr>
      <w:color w:val="204a87"/>
      <w:shd w:val="clear" w:fill="f8f8f8"/>
    </w:rPr>
  </w:style>
  <w:style w:type="character" w:customStyle="1" w:styleId="DecValTok">
    <w:name w:val="DecValTok"/>
    <w:basedOn w:val="VerbatimChar"/>
    <w:rPr>
      <w:color w:val="0000cf"/>
      <w:shd w:val="clear" w:fill="f8f8f8"/>
    </w:rPr>
  </w:style>
  <w:style w:type="character" w:customStyle="1" w:styleId="BaseNTok">
    <w:name w:val="BaseNTok"/>
    <w:basedOn w:val="VerbatimChar"/>
    <w:rPr>
      <w:color w:val="0000cf"/>
      <w:shd w:val="clear" w:fill="f8f8f8"/>
    </w:rPr>
  </w:style>
  <w:style w:type="character" w:customStyle="1" w:styleId="FloatTok">
    <w:name w:val="FloatTok"/>
    <w:basedOn w:val="VerbatimChar"/>
    <w:rPr>
      <w:color w:val="0000cf"/>
      <w:shd w:val="clear" w:fill="f8f8f8"/>
    </w:rPr>
  </w:style>
  <w:style w:type="character" w:customStyle="1" w:styleId="ConstantTok">
    <w:name w:val="ConstantTok"/>
    <w:basedOn w:val="VerbatimChar"/>
    <w:rPr>
      <w:color w:val="8f5902"/>
      <w:shd w:val="clear" w:fill="f8f8f8"/>
    </w:rPr>
  </w:style>
  <w:style w:type="character" w:customStyle="1" w:styleId="CharTok">
    <w:name w:val="CharTok"/>
    <w:basedOn w:val="VerbatimChar"/>
    <w:rPr>
      <w:color w:val="4e9a06"/>
      <w:shd w:val="clear" w:fill="f8f8f8"/>
    </w:rPr>
  </w:style>
  <w:style w:type="character" w:customStyle="1" w:styleId="SpecialCharTok">
    <w:name w:val="SpecialCharTok"/>
    <w:basedOn w:val="VerbatimChar"/>
    <w:rPr>
      <w:color w:val="ce5c00"/>
      <w:shd w:val="clear" w:fill="f8f8f8"/>
      <w:b/>
    </w:rPr>
  </w:style>
  <w:style w:type="character" w:customStyle="1" w:styleId="StringTok">
    <w:name w:val="StringTok"/>
    <w:basedOn w:val="VerbatimChar"/>
    <w:rPr>
      <w:color w:val="4e9a06"/>
      <w:shd w:val="clear" w:fill="f8f8f8"/>
    </w:rPr>
  </w:style>
  <w:style w:type="character" w:customStyle="1" w:styleId="VerbatimStringTok">
    <w:name w:val="VerbatimStringTok"/>
    <w:basedOn w:val="VerbatimChar"/>
    <w:rPr>
      <w:color w:val="4e9a06"/>
      <w:shd w:val="clear" w:fill="f8f8f8"/>
    </w:rPr>
  </w:style>
  <w:style w:type="character" w:customStyle="1" w:styleId="SpecialStringTok">
    <w:name w:val="SpecialStringTok"/>
    <w:basedOn w:val="VerbatimChar"/>
    <w:rPr>
      <w:color w:val="4e9a06"/>
      <w:shd w:val="clear" w:fill="f8f8f8"/>
    </w:rPr>
  </w:style>
  <w:style w:type="character" w:customStyle="1" w:styleId="ImportTok">
    <w:name w:val="ImportTok"/>
    <w:basedOn w:val="VerbatimChar"/>
    <w:rPr>
      <w:shd w:val="clear" w:fill="f8f8f8"/>
    </w:rPr>
  </w:style>
  <w:style w:type="character" w:customStyle="1" w:styleId="CommentTok">
    <w:name w:val="CommentTok"/>
    <w:basedOn w:val="VerbatimChar"/>
    <w:rPr>
      <w:color w:val="8f5902"/>
      <w:shd w:val="clear" w:fill="f8f8f8"/>
      <w:i/>
    </w:rPr>
  </w:style>
  <w:style w:type="character" w:customStyle="1" w:styleId="DocumentationTok">
    <w:name w:val="DocumentationTok"/>
    <w:basedOn w:val="VerbatimChar"/>
    <w:rPr>
      <w:color w:val="8f5902"/>
      <w:shd w:val="clear" w:fill="f8f8f8"/>
      <w:b/>
      <w:i/>
    </w:rPr>
  </w:style>
  <w:style w:type="character" w:customStyle="1" w:styleId="AnnotationTok">
    <w:name w:val="AnnotationTok"/>
    <w:basedOn w:val="VerbatimChar"/>
    <w:rPr>
      <w:color w:val="8f5902"/>
      <w:shd w:val="clear" w:fill="f8f8f8"/>
      <w:b/>
      <w:i/>
    </w:rPr>
  </w:style>
  <w:style w:type="character" w:customStyle="1" w:styleId="CommentVarTok">
    <w:name w:val="CommentVarTok"/>
    <w:basedOn w:val="VerbatimChar"/>
    <w:rPr>
      <w:color w:val="8f5902"/>
      <w:shd w:val="clear" w:fill="f8f8f8"/>
      <w:b/>
      <w:i/>
    </w:rPr>
  </w:style>
  <w:style w:type="character" w:customStyle="1" w:styleId="OtherTok">
    <w:name w:val="OtherTok"/>
    <w:basedOn w:val="VerbatimChar"/>
    <w:rPr>
      <w:color w:val="8f5902"/>
      <w:shd w:val="clear" w:fill="f8f8f8"/>
    </w:rPr>
  </w:style>
  <w:style w:type="character" w:customStyle="1" w:styleId="FunctionTok">
    <w:name w:val="FunctionTok"/>
    <w:basedOn w:val="VerbatimChar"/>
    <w:rPr>
      <w:color w:val="204a87"/>
      <w:shd w:val="clear" w:fill="f8f8f8"/>
      <w:b/>
    </w:rPr>
  </w:style>
  <w:style w:type="character" w:customStyle="1" w:styleId="VariableTok">
    <w:name w:val="VariableTok"/>
    <w:basedOn w:val="VerbatimChar"/>
    <w:rPr>
      <w:color w:val="000000"/>
      <w:shd w:val="clear" w:fill="f8f8f8"/>
    </w:rPr>
  </w:style>
  <w:style w:type="character" w:customStyle="1" w:styleId="ControlFlowTok">
    <w:name w:val="ControlFlowTok"/>
    <w:basedOn w:val="VerbatimChar"/>
    <w:rPr>
      <w:color w:val="204a87"/>
      <w:shd w:val="clear" w:fill="f8f8f8"/>
      <w:b/>
    </w:rPr>
  </w:style>
  <w:style w:type="character" w:customStyle="1" w:styleId="OperatorTok">
    <w:name w:val="OperatorTok"/>
    <w:basedOn w:val="VerbatimChar"/>
    <w:rPr>
      <w:color w:val="ce5c00"/>
      <w:shd w:val="clear" w:fill="f8f8f8"/>
      <w:b/>
    </w:rPr>
  </w:style>
  <w:style w:type="character" w:customStyle="1" w:styleId="BuiltInTok">
    <w:name w:val="BuiltInTok"/>
    <w:basedOn w:val="VerbatimChar"/>
    <w:rPr>
      <w:shd w:val="clear" w:fill="f8f8f8"/>
    </w:rPr>
  </w:style>
  <w:style w:type="character" w:customStyle="1" w:styleId="ExtensionTok">
    <w:name w:val="ExtensionTok"/>
    <w:basedOn w:val="VerbatimChar"/>
    <w:rPr>
      <w:shd w:val="clear" w:fill="f8f8f8"/>
    </w:rPr>
  </w:style>
  <w:style w:type="character" w:customStyle="1" w:styleId="PreprocessorTok">
    <w:name w:val="PreprocessorTok"/>
    <w:basedOn w:val="VerbatimChar"/>
    <w:rPr>
      <w:color w:val="8f5902"/>
      <w:shd w:val="clear" w:fill="f8f8f8"/>
      <w:i/>
    </w:rPr>
  </w:style>
  <w:style w:type="character" w:customStyle="1" w:styleId="AttributeTok">
    <w:name w:val="AttributeTok"/>
    <w:basedOn w:val="VerbatimChar"/>
    <w:rPr>
      <w:color w:val="204a87"/>
      <w:shd w:val="clear" w:fill="f8f8f8"/>
    </w:rPr>
  </w:style>
  <w:style w:type="character" w:customStyle="1" w:styleId="RegionMarkerTok">
    <w:name w:val="RegionMarkerTok"/>
    <w:basedOn w:val="VerbatimChar"/>
    <w:rPr>
      <w:shd w:val="clear" w:fill="f8f8f8"/>
    </w:rPr>
  </w:style>
  <w:style w:type="character" w:customStyle="1" w:styleId="InformationTok">
    <w:name w:val="InformationTok"/>
    <w:basedOn w:val="VerbatimChar"/>
    <w:rPr>
      <w:color w:val="8f5902"/>
      <w:shd w:val="clear" w:fill="f8f8f8"/>
      <w:b/>
      <w:i/>
    </w:rPr>
  </w:style>
  <w:style w:type="character" w:customStyle="1" w:styleId="WarningTok">
    <w:name w:val="WarningTok"/>
    <w:basedOn w:val="VerbatimChar"/>
    <w:rPr>
      <w:color w:val="8f5902"/>
      <w:shd w:val="clear" w:fill="f8f8f8"/>
      <w:b/>
      <w:i/>
    </w:rPr>
  </w:style>
  <w:style w:type="character" w:customStyle="1" w:styleId="AlertTok">
    <w:name w:val="AlertTok"/>
    <w:basedOn w:val="VerbatimChar"/>
    <w:rPr>
      <w:color w:val="ef2929"/>
      <w:shd w:val="clear" w:fill="f8f8f8"/>
    </w:rPr>
  </w:style>
  <w:style w:type="character" w:customStyle="1" w:styleId="ErrorTok">
    <w:name w:val="ErrorTok"/>
    <w:basedOn w:val="VerbatimChar"/>
    <w:rPr>
      <w:color w:val="a40000"/>
      <w:shd w:val="clear" w:fill="f8f8f8"/>
      <w:b/>
    </w:rPr>
  </w:style>
  <w:style w:type="character" w:customStyle="1" w:styleId="NormalTok">
    <w:name w:val="NormalTok"/>
    <w:basedOn w:val="VerbatimChar"/>
    <w:rPr>
      <w:shd w:val="clear" w:fill="f8f8f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1.xml" Type="http://schemas.openxmlformats.org/officeDocument/2006/relationships/header" /><Relationship Type="http://schemas.openxmlformats.org/officeDocument/2006/relationships/hyperlink" Id="rId34" Target="https://data.gov.au/data/dataset/disaster-history-payment-by-lga" TargetMode="External" /><Relationship Type="http://schemas.openxmlformats.org/officeDocument/2006/relationships/hyperlink" Id="rId40" Target="https://data.gov.au/dataset/ds-dga-cff2ae8a-55e4-47db-a66d-e177fe0ac6a0/details" TargetMode="External" /><Relationship Type="http://schemas.openxmlformats.org/officeDocument/2006/relationships/hyperlink" Id="rId44" Target="https://economy.id.com.au/" TargetMode="External" /><Relationship Type="http://schemas.openxmlformats.org/officeDocument/2006/relationships/hyperlink" Id="rId45" Target="https://www.abs.gov.au/statistics/economy/business-indicators/counts-australian-businesses-including-entries-and-exits/latest-release" TargetMode="External" /><Relationship Type="http://schemas.openxmlformats.org/officeDocument/2006/relationships/hyperlink" Id="rId48" Target="https://www.abs.gov.au/statistics/labour/earnings-and-working-conditions/personal-income-australia/latest-release#data-downloads" TargetMode="External" /><Relationship Type="http://schemas.openxmlformats.org/officeDocument/2006/relationships/hyperlink" Id="rId47" Target="https://www.abs.gov.au/statistics/labour/employment-and-unemployment/labour-force-australia-detailed/latest-release" TargetMode="External" /><Relationship Type="http://schemas.openxmlformats.org/officeDocument/2006/relationships/hyperlink" Id="rId41" Target="https://www.abs.gov.au/statistics/people/housing/estimating-homelessness-census/latest-release#data-downloads" TargetMode="External" /><Relationship Type="http://schemas.openxmlformats.org/officeDocument/2006/relationships/hyperlink" Id="rId43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6" Target="https://www.abs.gov.au/statistics/people/population/regional-population-age-and-sex/latest-release#data-downloads" TargetMode="External" /><Relationship Type="http://schemas.openxmlformats.org/officeDocument/2006/relationships/hyperlink" Id="rId39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2" Target="https://www.nationalskillscommission.gov.au/topics/small-area-labour-markets#UpdatedLGAstructure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34" Target="https://data.gov.au/data/dataset/disaster-history-payment-by-lga" TargetMode="External" /><Relationship Type="http://schemas.openxmlformats.org/officeDocument/2006/relationships/hyperlink" Id="rId40" Target="https://data.gov.au/dataset/ds-dga-cff2ae8a-55e4-47db-a66d-e177fe0ac6a0/details" TargetMode="External" /><Relationship Type="http://schemas.openxmlformats.org/officeDocument/2006/relationships/hyperlink" Id="rId44" Target="https://economy.id.com.au/" TargetMode="External" /><Relationship Type="http://schemas.openxmlformats.org/officeDocument/2006/relationships/hyperlink" Id="rId45" Target="https://www.abs.gov.au/statistics/economy/business-indicators/counts-australian-businesses-including-entries-and-exits/latest-release" TargetMode="External" /><Relationship Type="http://schemas.openxmlformats.org/officeDocument/2006/relationships/hyperlink" Id="rId48" Target="https://www.abs.gov.au/statistics/labour/earnings-and-working-conditions/personal-income-australia/latest-release#data-downloads" TargetMode="External" /><Relationship Type="http://schemas.openxmlformats.org/officeDocument/2006/relationships/hyperlink" Id="rId47" Target="https://www.abs.gov.au/statistics/labour/employment-and-unemployment/labour-force-australia-detailed/latest-release" TargetMode="External" /><Relationship Type="http://schemas.openxmlformats.org/officeDocument/2006/relationships/hyperlink" Id="rId41" Target="https://www.abs.gov.au/statistics/people/housing/estimating-homelessness-census/latest-release#data-downloads" TargetMode="External" /><Relationship Type="http://schemas.openxmlformats.org/officeDocument/2006/relationships/hyperlink" Id="rId43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6" Target="https://www.abs.gov.au/statistics/people/population/regional-population-age-and-sex/latest-release#data-downloads" TargetMode="External" /><Relationship Type="http://schemas.openxmlformats.org/officeDocument/2006/relationships/hyperlink" Id="rId39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2" Target="https://www.nationalskillscommission.gov.au/topics/small-area-labour-markets#UpdatedLGAstructure" TargetMode="Externa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C14515\Downloads\NEMA_ONE-PAGE-PORTRAIT_A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NEMA_ONE-PAGE-PORTRAIT_A4</Template>
  <TotalTime>19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the Prime Minister and Cabinet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2025-01-02T01:47:36Z</dcterms:created>
  <dcterms:modified xsi:type="dcterms:W3CDTF">2025-01-02T01:47:36Z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utput">
    <vt:lpwstr/>
  </property>
  <property fmtid="{D5CDD505-2E9C-101B-9397-08002B2CF9AE}" pid="3" name="params">
    <vt:lpwstr/>
  </property>
</Properties>
</file>